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bottom w:val="single" w:sz="12" w:space="5" w:color="E7E8EA"/>
        </w:pBdr>
        <w:shd w:val="clear" w:color="auto" w:fill="FFFFFF"/>
        <w:jc w:val="center"/>
        <w:outlineLvl w:val="2"/>
        <w:rPr>
          <w:rFonts w:ascii="Calibri" w:hAnsi="Calibri"/>
          <w:b/>
          <w:b/>
          <w:sz w:val="24"/>
          <w:szCs w:val="24"/>
        </w:rPr>
      </w:pPr>
      <w:r>
        <w:rPr>
          <w:rFonts w:ascii="Calibri" w:hAnsi="Calibri"/>
          <w:b/>
          <w:sz w:val="24"/>
          <w:szCs w:val="24"/>
        </w:rPr>
        <w:t xml:space="preserve">ADATÉDELMI TÁJÉKOZTATÓ </w:t>
      </w:r>
    </w:p>
    <w:p>
      <w:pPr>
        <w:pStyle w:val="Normal"/>
        <w:numPr>
          <w:ilvl w:val="0"/>
          <w:numId w:val="0"/>
        </w:numPr>
        <w:pBdr>
          <w:bottom w:val="single" w:sz="12" w:space="5" w:color="E7E8EA"/>
        </w:pBdr>
        <w:shd w:val="clear" w:color="auto" w:fill="FFFFFF"/>
        <w:jc w:val="center"/>
        <w:outlineLvl w:val="2"/>
        <w:rPr>
          <w:rFonts w:ascii="Calibri" w:hAnsi="Calibri"/>
          <w:b/>
          <w:b/>
          <w:sz w:val="24"/>
          <w:szCs w:val="24"/>
        </w:rPr>
      </w:pPr>
      <w:r>
        <w:rPr>
          <w:rFonts w:ascii="Calibri" w:hAnsi="Calibri"/>
          <w:b/>
          <w:sz w:val="24"/>
          <w:szCs w:val="24"/>
        </w:rPr>
        <w:t>MPT 2023.évi XXVI. Vándorgyűlés</w:t>
      </w:r>
    </w:p>
    <w:p>
      <w:pPr>
        <w:pStyle w:val="Normal"/>
        <w:numPr>
          <w:ilvl w:val="0"/>
          <w:numId w:val="0"/>
        </w:numPr>
        <w:pBdr>
          <w:bottom w:val="single" w:sz="12" w:space="5" w:color="E7E8EA"/>
        </w:pBdr>
        <w:shd w:val="clear" w:color="auto" w:fill="FFFFFF"/>
        <w:jc w:val="center"/>
        <w:outlineLvl w:val="2"/>
        <w:rPr>
          <w:rFonts w:ascii="Calibri" w:hAnsi="Calibri"/>
          <w:b/>
          <w:b/>
          <w:sz w:val="24"/>
          <w:szCs w:val="24"/>
        </w:rPr>
      </w:pPr>
      <w:r>
        <w:rPr>
          <w:rFonts w:ascii="Calibri" w:hAnsi="Calibri"/>
          <w:b/>
          <w:sz w:val="24"/>
          <w:szCs w:val="24"/>
        </w:rPr>
        <w:t>kongresszus szervezéssel kapcsolatos adatkezelésről</w:t>
      </w:r>
    </w:p>
    <w:p>
      <w:pPr>
        <w:pStyle w:val="Normal"/>
        <w:numPr>
          <w:ilvl w:val="0"/>
          <w:numId w:val="0"/>
        </w:numPr>
        <w:pBdr>
          <w:bottom w:val="single" w:sz="12" w:space="5" w:color="E7E8EA"/>
        </w:pBdr>
        <w:shd w:val="clear" w:color="auto" w:fill="FFFFFF"/>
        <w:jc w:val="center"/>
        <w:outlineLvl w:val="2"/>
        <w:rPr>
          <w:rFonts w:ascii="Times New Roman" w:hAnsi="Times New Roman"/>
          <w:b/>
          <w:b/>
          <w:sz w:val="24"/>
          <w:szCs w:val="24"/>
        </w:rPr>
      </w:pPr>
      <w:r>
        <w:rPr>
          <w:rFonts w:ascii="Times New Roman" w:hAnsi="Times New Roman"/>
          <w:b/>
          <w:sz w:val="24"/>
          <w:szCs w:val="24"/>
        </w:rPr>
      </w:r>
    </w:p>
    <w:p>
      <w:pPr>
        <w:pStyle w:val="Normal"/>
        <w:spacing w:before="0" w:after="0"/>
        <w:contextualSpacing/>
        <w:jc w:val="both"/>
        <w:rPr>
          <w:rFonts w:ascii="Calibri" w:hAnsi="Calibri"/>
          <w:sz w:val="24"/>
          <w:szCs w:val="24"/>
        </w:rPr>
      </w:pPr>
      <w:r>
        <w:rPr>
          <w:rFonts w:ascii="Calibri" w:hAnsi="Calibri"/>
          <w:sz w:val="24"/>
          <w:szCs w:val="24"/>
        </w:rPr>
        <w:t>A "TENSI " Kft.  (székhely: 1023 Budapest, Komjádi Béla utca 1., adószám: 10253175-2-41, cégjegyzékszám: 01-09-062479, congress@tensi.hu, tel: 06-1-345-15-53, www.tensi-congress.hu, továbbiakban: TENSI) mint adatkezelő ezúton tájékoztatja a jelen Adatvédelmi tájékoztató olvasóját, az adatkezelő konferencia szervező weboldalának és közösségi oldalának látogatóit, és minden más természetes személyt, akinek adatait kezeli (továbbiakban ők együttesen: érintett(ek)), hogy tiszteletben tartja az érintettek személyhez fűződő jogait, ezért adatkezelései során az adatvédelmi szabályzata rendelkezései alapján jár el. A TENSI az időközben módosulandó adatvédelemre vonatkozó jogszabályi háttérrel és egyéb belső szabályzattal való összehangolása miatti a szabályzat, és az ennek alapján készült nyilatkozat megváltoztatására a jogot fenntartja. A Szabályzat mindenkor hatályos változata elektronikus formában a www.tensi.hu weboldalon, és papír alapon a székhelyén érhető el. A fentiek alapján a Szabályzat rendelkezéseit a TENSI magára nézve kötelezőnek tekinti, és működése során annak értelmében jár el.</w:t>
      </w:r>
    </w:p>
    <w:p>
      <w:pPr>
        <w:pStyle w:val="Normal"/>
        <w:spacing w:before="0" w:after="0"/>
        <w:ind w:left="426" w:hanging="0"/>
        <w:contextualSpacing/>
        <w:jc w:val="both"/>
        <w:rPr>
          <w:rFonts w:ascii="Calibri" w:hAnsi="Calibri"/>
          <w:sz w:val="24"/>
          <w:szCs w:val="24"/>
        </w:rPr>
      </w:pPr>
      <w:r>
        <w:rPr>
          <w:rFonts w:ascii="Calibri" w:hAnsi="Calibri"/>
          <w:sz w:val="24"/>
          <w:szCs w:val="24"/>
        </w:rPr>
      </w:r>
    </w:p>
    <w:p>
      <w:pPr>
        <w:pStyle w:val="Normal"/>
        <w:jc w:val="both"/>
        <w:rPr>
          <w:rFonts w:ascii="Calibri" w:hAnsi="Calibri" w:eastAsia="Calibri"/>
          <w:sz w:val="24"/>
          <w:szCs w:val="24"/>
        </w:rPr>
      </w:pPr>
      <w:r>
        <w:rPr>
          <w:rFonts w:eastAsia="Calibri" w:ascii="Calibri" w:hAnsi="Calibri"/>
          <w:sz w:val="24"/>
          <w:szCs w:val="24"/>
        </w:rPr>
        <w:t xml:space="preserve">A TENSI gondoskodik az adatok biztonságáról. Ennek érdekében megteszi azokat a technikai és szervezési intézkedéseket és kialakítja azokat az eljárási szabályokat, amelyek az irányadó jogszabályok, adat- és titokvédelmi szabályok érvényre juttatásához szükségesek. </w:t>
      </w:r>
    </w:p>
    <w:p>
      <w:pPr>
        <w:pStyle w:val="Normal"/>
        <w:jc w:val="both"/>
        <w:rPr>
          <w:rFonts w:ascii="Calibri" w:hAnsi="Calibri" w:eastAsia="Calibri"/>
          <w:sz w:val="24"/>
          <w:szCs w:val="24"/>
        </w:rPr>
      </w:pPr>
      <w:r>
        <w:rPr>
          <w:rFonts w:eastAsia="Calibri" w:ascii="Calibri" w:hAnsi="Calibri"/>
          <w:sz w:val="24"/>
          <w:szCs w:val="24"/>
        </w:rPr>
      </w:r>
    </w:p>
    <w:p>
      <w:pPr>
        <w:pStyle w:val="Normal"/>
        <w:jc w:val="both"/>
        <w:rPr>
          <w:rFonts w:ascii="Calibri" w:hAnsi="Calibri" w:eastAsia="Calibri"/>
          <w:sz w:val="24"/>
          <w:szCs w:val="24"/>
        </w:rPr>
      </w:pPr>
      <w:r>
        <w:rPr>
          <w:rFonts w:eastAsia="Calibri" w:ascii="Calibri" w:hAnsi="Calibri"/>
          <w:sz w:val="24"/>
          <w:szCs w:val="24"/>
        </w:rPr>
        <w:t xml:space="preserve">A TENSI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w:t>
      </w:r>
    </w:p>
    <w:p>
      <w:pPr>
        <w:pStyle w:val="Normal"/>
        <w:jc w:val="both"/>
        <w:rPr>
          <w:rFonts w:ascii="Calibri" w:hAnsi="Calibri" w:eastAsia="Calibri"/>
          <w:sz w:val="24"/>
          <w:szCs w:val="24"/>
        </w:rPr>
      </w:pPr>
      <w:r>
        <w:rPr>
          <w:rFonts w:eastAsia="Calibri" w:ascii="Calibri" w:hAnsi="Calibri"/>
          <w:sz w:val="24"/>
          <w:szCs w:val="24"/>
        </w:rPr>
      </w:r>
    </w:p>
    <w:p>
      <w:pPr>
        <w:pStyle w:val="Normal"/>
        <w:jc w:val="both"/>
        <w:rPr>
          <w:rFonts w:ascii="Calibri" w:hAnsi="Calibri" w:eastAsia="Calibri"/>
          <w:sz w:val="24"/>
          <w:szCs w:val="24"/>
        </w:rPr>
      </w:pPr>
      <w:r>
        <w:rPr>
          <w:rFonts w:eastAsia="Calibri" w:ascii="Calibri" w:hAnsi="Calibri"/>
          <w:sz w:val="24"/>
          <w:szCs w:val="24"/>
        </w:rPr>
        <w:t xml:space="preserve">Az adatbiztonság szabályainak érvényesüléséről a TENSI az Adatvédelmi és Adatbiztonsági Szabályzata alapján tartalmilag és formailag elkülönülő belső szabályzatok, utasítások, eljárási rendek útján (is) gondoskodik. </w:t>
      </w:r>
    </w:p>
    <w:p>
      <w:pPr>
        <w:pStyle w:val="Normal"/>
        <w:jc w:val="both"/>
        <w:rPr>
          <w:rFonts w:ascii="Calibri" w:hAnsi="Calibri" w:eastAsia="Calibri"/>
          <w:sz w:val="24"/>
          <w:szCs w:val="24"/>
        </w:rPr>
      </w:pPr>
      <w:r>
        <w:rPr>
          <w:rFonts w:eastAsia="Calibri" w:ascii="Calibri" w:hAnsi="Calibri"/>
          <w:sz w:val="24"/>
          <w:szCs w:val="24"/>
        </w:rPr>
      </w:r>
    </w:p>
    <w:p>
      <w:pPr>
        <w:pStyle w:val="Normal"/>
        <w:jc w:val="both"/>
        <w:rPr>
          <w:rFonts w:ascii="Calibri" w:hAnsi="Calibri" w:eastAsia="Calibri"/>
          <w:sz w:val="24"/>
          <w:szCs w:val="24"/>
        </w:rPr>
      </w:pPr>
      <w:r>
        <w:rPr>
          <w:rFonts w:eastAsia="Calibri" w:ascii="Calibri" w:hAnsi="Calibri"/>
          <w:sz w:val="24"/>
          <w:szCs w:val="24"/>
        </w:rPr>
        <w:t>A TENSI az adatok biztonságát szolgáló intézkedések meghatározásakor és alkalmazásakor tekintettel van a technika mindenkori fejlettségére és több lehetséges adatkezelési megoldás közül azt választja, amely a személyes adatok magasabb szintű védelmét biztosítja, kivéve, ha az aránytalan nehézséget jelentene.</w:t>
      </w:r>
    </w:p>
    <w:p>
      <w:pPr>
        <w:pStyle w:val="Normal"/>
        <w:spacing w:before="0" w:after="0"/>
        <w:ind w:left="426" w:hanging="0"/>
        <w:contextualSpacing/>
        <w:jc w:val="both"/>
        <w:rPr>
          <w:rFonts w:ascii="Calibri" w:hAnsi="Calibri"/>
          <w:sz w:val="24"/>
          <w:szCs w:val="24"/>
        </w:rPr>
      </w:pPr>
      <w:r>
        <w:rPr>
          <w:rFonts w:ascii="Calibri" w:hAnsi="Calibri"/>
          <w:sz w:val="24"/>
          <w:szCs w:val="24"/>
        </w:rPr>
      </w:r>
    </w:p>
    <w:p>
      <w:pPr>
        <w:pStyle w:val="Normal"/>
        <w:spacing w:before="0" w:after="0"/>
        <w:contextualSpacing/>
        <w:jc w:val="both"/>
        <w:rPr>
          <w:rFonts w:ascii="Calibri" w:hAnsi="Calibri"/>
          <w:sz w:val="24"/>
          <w:szCs w:val="24"/>
        </w:rPr>
      </w:pPr>
      <w:r>
        <w:rPr>
          <w:rFonts w:ascii="Calibri" w:hAnsi="Calibri"/>
          <w:sz w:val="24"/>
          <w:szCs w:val="24"/>
        </w:rPr>
        <w:t>A TENSI törekszik arra, hogy minél pontosabban betartsa a Nemzeti Adatvédelmi és Információszabadság Hatóság ajánlásait, így különösen az előzetes tájékoztatás adatvédelmi követelményeiről szóló 2015. szeptember hó 29. napján kiadott ajánlását, és ezért a lehető legérthetőbben fejezi ki az adatvédelmi szabályokat, szükség esetén példákkal magyarázva azokat, valamint részletesen bemutatja az egyes adatkezelési tevékenységeket, hogy az érintett mindezek ismeretében tudja eldönteni azt, hogy önkéntes hozzájárulását adja azokhoz, vagy sem.</w:t>
      </w:r>
    </w:p>
    <w:p>
      <w:pPr>
        <w:pStyle w:val="Normal"/>
        <w:spacing w:before="0" w:after="0"/>
        <w:ind w:left="720" w:hanging="0"/>
        <w:contextualSpacing/>
        <w:jc w:val="both"/>
        <w:rPr>
          <w:rFonts w:ascii="Calibri" w:hAnsi="Calibri"/>
          <w:sz w:val="24"/>
          <w:szCs w:val="24"/>
        </w:rPr>
      </w:pPr>
      <w:r>
        <w:rPr>
          <w:rFonts w:ascii="Calibri" w:hAnsi="Calibri"/>
          <w:sz w:val="24"/>
          <w:szCs w:val="24"/>
        </w:rPr>
      </w:r>
    </w:p>
    <w:p>
      <w:pPr>
        <w:pStyle w:val="Normal"/>
        <w:spacing w:before="0" w:after="0"/>
        <w:contextualSpacing/>
        <w:jc w:val="both"/>
        <w:rPr>
          <w:rFonts w:ascii="Calibri" w:hAnsi="Calibri"/>
          <w:sz w:val="24"/>
          <w:szCs w:val="24"/>
        </w:rPr>
      </w:pPr>
      <w:r>
        <w:rPr>
          <w:rFonts w:ascii="Calibri" w:hAnsi="Calibri"/>
          <w:sz w:val="24"/>
          <w:szCs w:val="24"/>
        </w:rPr>
        <w:t xml:space="preserve">A TENSI célja annak biztosítása, hogy mindenben megfeleljen a hatályos jogszabályok adatvédelemmel kapcsolatos rendelkezéseinek, így különösen, de nem kizárólagosan </w:t>
      </w:r>
    </w:p>
    <w:p>
      <w:pPr>
        <w:pStyle w:val="Normal"/>
        <w:numPr>
          <w:ilvl w:val="1"/>
          <w:numId w:val="1"/>
        </w:numPr>
        <w:spacing w:before="0" w:after="0"/>
        <w:contextualSpacing/>
        <w:jc w:val="both"/>
        <w:rPr>
          <w:rFonts w:ascii="Calibri" w:hAnsi="Calibri"/>
          <w:sz w:val="24"/>
          <w:szCs w:val="24"/>
        </w:rPr>
      </w:pPr>
      <w:r>
        <w:rPr>
          <w:rFonts w:ascii="Calibri" w:hAnsi="Calibri"/>
          <w:sz w:val="24"/>
          <w:szCs w:val="24"/>
        </w:rPr>
        <w:t xml:space="preserve">az információs önrendelkezési jogról és az információszabadságról szóló 2011. évi CXII. törvény, </w:t>
      </w:r>
    </w:p>
    <w:p>
      <w:pPr>
        <w:pStyle w:val="Normal"/>
        <w:numPr>
          <w:ilvl w:val="1"/>
          <w:numId w:val="1"/>
        </w:numPr>
        <w:spacing w:before="0" w:after="0"/>
        <w:contextualSpacing/>
        <w:jc w:val="both"/>
        <w:rPr>
          <w:rFonts w:ascii="Calibri" w:hAnsi="Calibri"/>
          <w:sz w:val="24"/>
          <w:szCs w:val="24"/>
        </w:rPr>
      </w:pPr>
      <w:r>
        <w:rPr>
          <w:rFonts w:ascii="Calibri" w:hAnsi="Calibri"/>
          <w:sz w:val="24"/>
          <w:szCs w:val="24"/>
        </w:rPr>
        <w:t>az Európai Parlament és a Tanács (EU) 2016/679 Rendelete (GDPR),</w:t>
      </w:r>
    </w:p>
    <w:p>
      <w:pPr>
        <w:pStyle w:val="Normal"/>
        <w:numPr>
          <w:ilvl w:val="1"/>
          <w:numId w:val="1"/>
        </w:numPr>
        <w:spacing w:before="0" w:after="0"/>
        <w:contextualSpacing/>
        <w:jc w:val="both"/>
        <w:rPr>
          <w:rFonts w:ascii="Calibri" w:hAnsi="Calibri"/>
          <w:sz w:val="24"/>
          <w:szCs w:val="24"/>
        </w:rPr>
      </w:pPr>
      <w:r>
        <w:rPr>
          <w:rFonts w:ascii="Calibri" w:hAnsi="Calibri"/>
          <w:sz w:val="24"/>
          <w:szCs w:val="24"/>
        </w:rPr>
        <w:t>az elektronikus kereskedelmi szolgáltatások, valamint az információs társadalommal összefüggő szolgáltatások egyes kérdéseiről szóló 2001. évi CVIII. törvény,</w:t>
      </w:r>
    </w:p>
    <w:p>
      <w:pPr>
        <w:pStyle w:val="Normal"/>
        <w:numPr>
          <w:ilvl w:val="1"/>
          <w:numId w:val="1"/>
        </w:numPr>
        <w:spacing w:before="0" w:after="0"/>
        <w:contextualSpacing/>
        <w:jc w:val="both"/>
        <w:rPr>
          <w:rFonts w:ascii="Calibri" w:hAnsi="Calibri"/>
          <w:sz w:val="24"/>
          <w:szCs w:val="24"/>
        </w:rPr>
      </w:pPr>
      <w:r>
        <w:rPr>
          <w:rFonts w:ascii="Calibri" w:hAnsi="Calibri"/>
          <w:sz w:val="24"/>
          <w:szCs w:val="24"/>
        </w:rPr>
        <w:t>a fogyasztókkal szembeni tisztességtelen kereskedelmi gyakorlat tilalmáról szóló 2008. évi XLVII. törvény,</w:t>
      </w:r>
    </w:p>
    <w:p>
      <w:pPr>
        <w:pStyle w:val="Normal"/>
        <w:numPr>
          <w:ilvl w:val="1"/>
          <w:numId w:val="1"/>
        </w:numPr>
        <w:spacing w:before="0" w:after="0"/>
        <w:contextualSpacing/>
        <w:jc w:val="both"/>
        <w:rPr>
          <w:rFonts w:ascii="Calibri" w:hAnsi="Calibri"/>
          <w:sz w:val="24"/>
          <w:szCs w:val="24"/>
        </w:rPr>
      </w:pPr>
      <w:r>
        <w:rPr>
          <w:rFonts w:ascii="Calibri" w:hAnsi="Calibri"/>
          <w:sz w:val="24"/>
          <w:szCs w:val="24"/>
        </w:rPr>
        <w:t>a gazdasági reklámtevékenység alapvető feltételeiről és egyes korlátairól szóló 2008. évi XLVIII. törvény rendelkezéseinek.</w:t>
      </w:r>
    </w:p>
    <w:p>
      <w:pPr>
        <w:pStyle w:val="Normal"/>
        <w:spacing w:before="0" w:after="0"/>
        <w:ind w:left="1440" w:hanging="0"/>
        <w:contextualSpacing/>
        <w:jc w:val="both"/>
        <w:rPr>
          <w:rFonts w:ascii="Calibri" w:hAnsi="Calibri"/>
          <w:sz w:val="24"/>
          <w:szCs w:val="24"/>
        </w:rPr>
      </w:pPr>
      <w:r>
        <w:rPr>
          <w:rFonts w:ascii="Calibri" w:hAnsi="Calibri"/>
          <w:sz w:val="24"/>
          <w:szCs w:val="24"/>
        </w:rPr>
      </w:r>
    </w:p>
    <w:p>
      <w:pPr>
        <w:pStyle w:val="Normal"/>
        <w:spacing w:before="0" w:after="0"/>
        <w:contextualSpacing/>
        <w:jc w:val="both"/>
        <w:rPr>
          <w:rFonts w:ascii="Calibri" w:hAnsi="Calibri"/>
          <w:sz w:val="24"/>
          <w:szCs w:val="24"/>
        </w:rPr>
      </w:pPr>
      <w:r>
        <w:rPr>
          <w:rFonts w:ascii="Calibri" w:hAnsi="Calibri"/>
          <w:sz w:val="24"/>
          <w:szCs w:val="24"/>
        </w:rPr>
        <w:t>A TENSI kiemelten fontosnak tartja, egyben elkötelezett az iránt, hogy az érintett által a weboldalon vagy más fórumon keresztül vagy más módon rendelkezésre bocsátott, az információs önrendelkezési jogról és az információszabadságról szóló 2011. évi CXII. törvény által meghatározott adatokat védelemben részesítse, és az érintettek információs önrendelkezési jogát tiszteletben tartsa. E körben a vonatkozó hatályos jogszabályoknak teljes körűen eleget téve járul hozzá az érintettek biztonságos internetezési lehetőségeinek megteremtéséhez</w:t>
      </w:r>
    </w:p>
    <w:p>
      <w:pPr>
        <w:pStyle w:val="Normal"/>
        <w:spacing w:before="0" w:after="0"/>
        <w:ind w:left="720" w:hanging="0"/>
        <w:contextualSpacing/>
        <w:jc w:val="both"/>
        <w:rPr>
          <w:rFonts w:ascii="Calibri" w:hAnsi="Calibri"/>
          <w:sz w:val="24"/>
          <w:szCs w:val="24"/>
        </w:rPr>
      </w:pPr>
      <w:r>
        <w:rPr>
          <w:rFonts w:ascii="Calibri" w:hAnsi="Calibri"/>
          <w:sz w:val="24"/>
          <w:szCs w:val="24"/>
        </w:rPr>
      </w:r>
    </w:p>
    <w:p>
      <w:pPr>
        <w:pStyle w:val="Normal"/>
        <w:spacing w:before="0" w:after="0"/>
        <w:contextualSpacing/>
        <w:jc w:val="both"/>
        <w:rPr>
          <w:rFonts w:ascii="Calibri" w:hAnsi="Calibri"/>
          <w:sz w:val="24"/>
          <w:szCs w:val="24"/>
        </w:rPr>
      </w:pPr>
      <w:r>
        <w:rPr>
          <w:rFonts w:ascii="Calibri" w:hAnsi="Calibri"/>
          <w:sz w:val="24"/>
          <w:szCs w:val="24"/>
        </w:rPr>
        <w:t>A TENSI tájékoztatja Önt, a következő adatkezelési tevékenységeiről:</w:t>
      </w:r>
    </w:p>
    <w:p>
      <w:pPr>
        <w:pStyle w:val="Normal"/>
        <w:spacing w:before="0" w:after="0"/>
        <w:contextualSpacing/>
        <w:jc w:val="both"/>
        <w:rPr>
          <w:rFonts w:ascii="Calibri" w:hAnsi="Calibri"/>
          <w:sz w:val="24"/>
          <w:szCs w:val="24"/>
        </w:rPr>
      </w:pPr>
      <w:r>
        <w:rPr>
          <w:rFonts w:ascii="Calibri" w:hAnsi="Calibri"/>
          <w:sz w:val="24"/>
          <w:szCs w:val="24"/>
        </w:rPr>
      </w:r>
    </w:p>
    <w:p>
      <w:pPr>
        <w:pStyle w:val="Normal"/>
        <w:spacing w:before="0" w:after="0"/>
        <w:contextualSpacing/>
        <w:jc w:val="both"/>
        <w:rPr>
          <w:rFonts w:ascii="Calibri" w:hAnsi="Calibri"/>
          <w:sz w:val="24"/>
          <w:szCs w:val="24"/>
        </w:rPr>
      </w:pPr>
      <w:r>
        <w:rPr>
          <w:rFonts w:ascii="Calibri" w:hAnsi="Calibri"/>
          <w:sz w:val="24"/>
          <w:szCs w:val="24"/>
        </w:rPr>
      </w:r>
    </w:p>
    <w:p>
      <w:pPr>
        <w:pStyle w:val="Normal"/>
        <w:numPr>
          <w:ilvl w:val="1"/>
          <w:numId w:val="1"/>
        </w:numPr>
        <w:spacing w:before="0" w:after="0"/>
        <w:contextualSpacing/>
        <w:jc w:val="both"/>
        <w:rPr>
          <w:rFonts w:ascii="Calibri" w:hAnsi="Calibri"/>
          <w:sz w:val="24"/>
          <w:szCs w:val="24"/>
        </w:rPr>
      </w:pPr>
      <w:r>
        <w:rPr>
          <w:rFonts w:ascii="Calibri" w:hAnsi="Calibri"/>
          <w:sz w:val="24"/>
          <w:szCs w:val="24"/>
        </w:rPr>
        <w:t xml:space="preserve">az általa kezelt adatok és annak célja: </w:t>
      </w:r>
    </w:p>
    <w:tbl>
      <w:tblPr>
        <w:tblW w:w="7649" w:type="dxa"/>
        <w:jc w:val="left"/>
        <w:tblInd w:w="1413" w:type="dxa"/>
        <w:tblCellMar>
          <w:top w:w="0" w:type="dxa"/>
          <w:left w:w="108" w:type="dxa"/>
          <w:bottom w:w="0" w:type="dxa"/>
          <w:right w:w="108" w:type="dxa"/>
        </w:tblCellMar>
        <w:tblLook w:val="04a0" w:noHBand="0" w:noVBand="1" w:firstColumn="1" w:lastRow="0" w:lastColumn="0" w:firstRow="1"/>
      </w:tblPr>
      <w:tblGrid>
        <w:gridCol w:w="3884"/>
        <w:gridCol w:w="3764"/>
      </w:tblGrid>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név*</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azonosítás</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munkahely neve,címe</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azonosítás</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e-mail cím*</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kapcsolattartás</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 xml:space="preserve">születési év </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azonosítás</w:t>
            </w:r>
          </w:p>
        </w:tc>
      </w:tr>
      <w:tr>
        <w:trPr>
          <w:trHeight w:val="294" w:hRule="atLeast"/>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olor w:val="000000"/>
                <w:sz w:val="24"/>
                <w:szCs w:val="24"/>
              </w:rPr>
            </w:pPr>
            <w:r>
              <w:rPr>
                <w:rFonts w:eastAsia="Calibri" w:ascii="Calibri" w:hAnsi="Calibri"/>
                <w:color w:val="000000"/>
                <w:sz w:val="24"/>
                <w:szCs w:val="24"/>
              </w:rPr>
              <w:t>orvosi pecsétszám</w:t>
            </w:r>
          </w:p>
          <w:p>
            <w:pPr>
              <w:pStyle w:val="Normal"/>
              <w:ind w:firstLine="708"/>
              <w:jc w:val="both"/>
              <w:rPr>
                <w:rFonts w:ascii="Calibri" w:hAnsi="Calibri" w:eastAsia="Calibri"/>
                <w:color w:val="000000"/>
                <w:sz w:val="24"/>
                <w:szCs w:val="24"/>
              </w:rPr>
            </w:pPr>
            <w:r>
              <w:rPr>
                <w:rFonts w:eastAsia="Calibri" w:ascii="Calibri" w:hAnsi="Calibri"/>
                <w:color w:val="000000"/>
                <w:sz w:val="24"/>
                <w:szCs w:val="24"/>
              </w:rPr>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azonosítás</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ország</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számlázáshoz ,statisztikához szükséges adat</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város</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számlázáshoz szükséges adat</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cím</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számlázáshoz szükséges adat</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telefonszám,</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kapcsolattartás</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szoba igény</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teljesítéshez és számlázáshoz szükséges adat, ennek alapján adunk szobalistát a szállodának</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étkezési igények</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a megfelelő étkezés biztosítása (ennek alapján tájékoztatjuk a vendéglátást biztosítót)</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fizetési mód</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számlázáshoz szükséges adat</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sz w:val="24"/>
                <w:szCs w:val="24"/>
              </w:rPr>
              <w:t>számlázási cím (név, ország, irányítószám, város, utca, házszám, kiegészítő adatok)*</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számlázáshoz szükséges adat</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olor w:val="000000"/>
                <w:sz w:val="24"/>
                <w:szCs w:val="24"/>
              </w:rPr>
            </w:pPr>
            <w:r>
              <w:rPr>
                <w:rFonts w:eastAsia="Calibri" w:ascii="Calibri" w:hAnsi="Calibri"/>
                <w:sz w:val="24"/>
                <w:szCs w:val="24"/>
              </w:rPr>
              <w:t>Regisztráció dátuma* a rendszer rögzíti</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teljesítéshez, visszakereshetőséghez szükséges</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olor w:val="000000"/>
                <w:sz w:val="24"/>
                <w:szCs w:val="24"/>
              </w:rPr>
            </w:pPr>
            <w:r>
              <w:rPr>
                <w:rFonts w:eastAsia="Calibri" w:ascii="Calibri" w:hAnsi="Calibri"/>
                <w:color w:val="000000"/>
                <w:sz w:val="24"/>
                <w:szCs w:val="24"/>
              </w:rPr>
              <w:t>regisztráció módja (internet,fax,email,levél)</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statisztika</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olor w:val="000000"/>
                <w:sz w:val="24"/>
                <w:szCs w:val="24"/>
              </w:rPr>
            </w:pPr>
            <w:r>
              <w:rPr>
                <w:rFonts w:eastAsia="Calibri" w:ascii="Calibri" w:hAnsi="Calibri"/>
                <w:color w:val="000000"/>
                <w:sz w:val="24"/>
                <w:szCs w:val="24"/>
              </w:rPr>
              <w:t>támogató megnevezése</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azonosítás</w:t>
            </w:r>
          </w:p>
        </w:tc>
      </w:tr>
      <w:tr>
        <w:trPr/>
        <w:tc>
          <w:tcPr>
            <w:tcW w:w="3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olor w:val="000000"/>
                <w:sz w:val="24"/>
                <w:szCs w:val="24"/>
              </w:rPr>
            </w:pPr>
            <w:r>
              <w:rPr>
                <w:rFonts w:eastAsia="Calibri" w:ascii="Calibri" w:hAnsi="Calibri"/>
                <w:color w:val="000000"/>
                <w:sz w:val="24"/>
                <w:szCs w:val="24"/>
              </w:rPr>
              <w:t>A rendezvényhez kapcsolódó programokra, fakultativ étkezésekre történő jelentkezés nyilvántartása</w:t>
            </w:r>
          </w:p>
        </w:tc>
        <w:tc>
          <w:tcPr>
            <w:tcW w:w="376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olor w:val="000000"/>
                <w:sz w:val="24"/>
                <w:szCs w:val="24"/>
              </w:rPr>
            </w:pPr>
            <w:r>
              <w:rPr>
                <w:rFonts w:eastAsia="Calibri" w:ascii="Calibri" w:hAnsi="Calibri"/>
                <w:color w:val="000000"/>
                <w:sz w:val="24"/>
                <w:szCs w:val="24"/>
              </w:rPr>
              <w:t>Az adott programok megszervezése miatt kell</w:t>
            </w:r>
          </w:p>
        </w:tc>
      </w:tr>
    </w:tbl>
    <w:p>
      <w:pPr>
        <w:pStyle w:val="Normal"/>
        <w:spacing w:before="0" w:after="0"/>
        <w:contextualSpacing/>
        <w:jc w:val="both"/>
        <w:rPr>
          <w:rFonts w:ascii="Calibri" w:hAnsi="Calibri"/>
          <w:sz w:val="24"/>
          <w:szCs w:val="24"/>
        </w:rPr>
      </w:pPr>
      <w:r>
        <w:rPr>
          <w:rFonts w:ascii="Calibri" w:hAnsi="Calibri"/>
          <w:sz w:val="24"/>
          <w:szCs w:val="24"/>
        </w:rPr>
      </w:r>
    </w:p>
    <w:p>
      <w:pPr>
        <w:pStyle w:val="Normal"/>
        <w:numPr>
          <w:ilvl w:val="1"/>
          <w:numId w:val="1"/>
        </w:numPr>
        <w:spacing w:before="0" w:after="0"/>
        <w:contextualSpacing/>
        <w:jc w:val="both"/>
        <w:rPr>
          <w:rFonts w:ascii="Calibri" w:hAnsi="Calibri"/>
          <w:sz w:val="24"/>
          <w:szCs w:val="24"/>
        </w:rPr>
      </w:pPr>
      <w:r>
        <w:rPr>
          <w:rFonts w:ascii="Calibri" w:hAnsi="Calibri"/>
          <w:b/>
          <w:sz w:val="24"/>
          <w:szCs w:val="24"/>
        </w:rPr>
        <w:t>az adatkezelés célja</w:t>
      </w:r>
      <w:r>
        <w:rPr>
          <w:rFonts w:ascii="Calibri" w:hAnsi="Calibri"/>
          <w:sz w:val="24"/>
          <w:szCs w:val="24"/>
        </w:rPr>
        <w:t xml:space="preserve"> : A TENSI Kft. jelen adatkezelésének célja: a </w:t>
      </w:r>
      <w:r>
        <w:rPr>
          <w:rFonts w:ascii="Calibri" w:hAnsi="Calibri"/>
          <w:b/>
          <w:sz w:val="24"/>
          <w:szCs w:val="24"/>
        </w:rPr>
        <w:t xml:space="preserve">2023.szeptember 13-16.között a. Szegedi Tudományegyetem/ József Attila Tanulmányi és Információs Központ  , Szeged  területén  megtartandó a Magyar Pszichiátriai Társaság    2023.évi XXVI Vándorgyűlése </w:t>
      </w:r>
      <w:r>
        <w:rPr>
          <w:rFonts w:ascii="Calibri" w:hAnsi="Calibri"/>
          <w:sz w:val="24"/>
          <w:szCs w:val="24"/>
        </w:rPr>
        <w:t xml:space="preserve">  kapcsán a honlapon keresztül elérhető online regisztráció során gyűjtött adatoknak a kért szolgáltatás teljesítéséhez, másodsorban rendezvénystatisztikai céllal történő felhasználása</w:t>
      </w:r>
    </w:p>
    <w:p>
      <w:pPr>
        <w:pStyle w:val="Normal"/>
        <w:numPr>
          <w:ilvl w:val="1"/>
          <w:numId w:val="1"/>
        </w:numPr>
        <w:spacing w:before="0" w:after="0"/>
        <w:contextualSpacing/>
        <w:jc w:val="both"/>
        <w:rPr>
          <w:rFonts w:ascii="Calibri" w:hAnsi="Calibri"/>
          <w:sz w:val="24"/>
          <w:szCs w:val="24"/>
        </w:rPr>
      </w:pPr>
      <w:r>
        <w:rPr>
          <w:rFonts w:ascii="Calibri" w:hAnsi="Calibri"/>
          <w:b/>
          <w:sz w:val="24"/>
          <w:szCs w:val="24"/>
        </w:rPr>
        <w:t>érintettek köre</w:t>
      </w:r>
      <w:r>
        <w:rPr>
          <w:rFonts w:ascii="Calibri" w:hAnsi="Calibri"/>
          <w:sz w:val="24"/>
          <w:szCs w:val="24"/>
        </w:rPr>
        <w:t>: minden természetes személy, aki személyes adatainak megadásával a  konferenciára jelentkezik;</w:t>
      </w:r>
    </w:p>
    <w:p>
      <w:pPr>
        <w:pStyle w:val="Normal"/>
        <w:numPr>
          <w:ilvl w:val="1"/>
          <w:numId w:val="1"/>
        </w:numPr>
        <w:spacing w:before="0" w:after="0"/>
        <w:contextualSpacing/>
        <w:jc w:val="both"/>
        <w:rPr>
          <w:rFonts w:ascii="Calibri" w:hAnsi="Calibri"/>
          <w:sz w:val="24"/>
          <w:szCs w:val="24"/>
        </w:rPr>
      </w:pPr>
      <w:r>
        <w:rPr>
          <w:rFonts w:ascii="Calibri" w:hAnsi="Calibri"/>
          <w:b/>
          <w:sz w:val="24"/>
          <w:szCs w:val="24"/>
        </w:rPr>
        <w:t>az adatkezelés jogalapja</w:t>
      </w:r>
      <w:r>
        <w:rPr>
          <w:rFonts w:ascii="Calibri" w:hAnsi="Calibri"/>
          <w:sz w:val="24"/>
          <w:szCs w:val="24"/>
        </w:rPr>
        <w:t xml:space="preserve">: </w:t>
      </w:r>
      <w:r>
        <w:rPr>
          <w:rFonts w:eastAsia="Calibri" w:ascii="Calibri" w:hAnsi="Calibri"/>
          <w:sz w:val="24"/>
          <w:szCs w:val="24"/>
        </w:rPr>
        <w:t>az Ön előzetes és önkéntes hozzájárulása személyes adatainak kezeléséhez; a GDPR alkalmazásától kezdve az adatkezelés jogalapja a következő: az adatkezelés olyan szerződés teljesítéséhez szükséges, amelyben az érintett az egyik fél, vagy az a szerződés megkötését megelőzően az érintett kérésére történő lépések megtételéhez szükséges;</w:t>
      </w:r>
    </w:p>
    <w:p>
      <w:pPr>
        <w:pStyle w:val="Normal"/>
        <w:numPr>
          <w:ilvl w:val="1"/>
          <w:numId w:val="1"/>
        </w:numPr>
        <w:spacing w:before="0" w:after="0"/>
        <w:contextualSpacing/>
        <w:jc w:val="both"/>
        <w:rPr>
          <w:rFonts w:ascii="Calibri" w:hAnsi="Calibri"/>
          <w:sz w:val="24"/>
          <w:szCs w:val="24"/>
        </w:rPr>
      </w:pPr>
      <w:r>
        <w:rPr>
          <w:rFonts w:ascii="Calibri" w:hAnsi="Calibri"/>
          <w:b/>
          <w:sz w:val="24"/>
          <w:szCs w:val="24"/>
        </w:rPr>
        <w:t>az adatkezelés időtartama</w:t>
      </w:r>
      <w:r>
        <w:rPr>
          <w:rFonts w:ascii="Calibri" w:hAnsi="Calibri"/>
          <w:sz w:val="24"/>
          <w:szCs w:val="24"/>
        </w:rPr>
        <w:t>: cél megvalósulásáig, olyan adatok vonatkozásában, amelyek bizonylatokra kerülnek, és a bizonylat a könyvviteli elszámolást támasztja alá, az adatkezelés időtartama a 2000. évi C. törvény 169. § (2) bekezdése alapján legalább 8 év</w:t>
      </w:r>
    </w:p>
    <w:p>
      <w:pPr>
        <w:pStyle w:val="Normal"/>
        <w:numPr>
          <w:ilvl w:val="1"/>
          <w:numId w:val="1"/>
        </w:numPr>
        <w:spacing w:before="0" w:after="0"/>
        <w:contextualSpacing/>
        <w:jc w:val="both"/>
        <w:rPr>
          <w:rFonts w:ascii="Calibri" w:hAnsi="Calibri"/>
          <w:sz w:val="24"/>
          <w:szCs w:val="24"/>
        </w:rPr>
      </w:pPr>
      <w:r>
        <w:rPr>
          <w:rFonts w:ascii="Calibri" w:hAnsi="Calibri"/>
          <w:b/>
          <w:sz w:val="24"/>
          <w:szCs w:val="24"/>
        </w:rPr>
        <w:t>adatfeldolgozó adatai</w:t>
      </w:r>
      <w:r>
        <w:rPr>
          <w:rFonts w:ascii="Calibri" w:hAnsi="Calibri"/>
          <w:sz w:val="24"/>
          <w:szCs w:val="24"/>
        </w:rPr>
        <w:t xml:space="preserve">: </w:t>
      </w:r>
    </w:p>
    <w:p>
      <w:pPr>
        <w:pStyle w:val="Normal"/>
        <w:numPr>
          <w:ilvl w:val="1"/>
          <w:numId w:val="1"/>
        </w:numPr>
        <w:spacing w:before="0" w:after="0"/>
        <w:contextualSpacing/>
        <w:jc w:val="both"/>
        <w:rPr>
          <w:rFonts w:ascii="Calibri" w:hAnsi="Calibri"/>
          <w:sz w:val="24"/>
          <w:szCs w:val="24"/>
        </w:rPr>
      </w:pPr>
      <w:r>
        <w:rPr>
          <w:rFonts w:ascii="Calibri" w:hAnsi="Calibri"/>
          <w:sz w:val="24"/>
          <w:szCs w:val="24"/>
        </w:rPr>
        <w:t xml:space="preserve">az érintett személyes adatainak továbbítása: a szállodák, a vendéglátást biztosító cég, a rendezvény megrendelője (tudományos/szakmai) szervezője, támogatók (szponzorok) részére történik annak érdekében hogy a megfelelő tájékoztatást megadhassuk. </w:t>
      </w:r>
    </w:p>
    <w:p>
      <w:pPr>
        <w:pStyle w:val="Normal"/>
        <w:numPr>
          <w:ilvl w:val="1"/>
          <w:numId w:val="1"/>
        </w:numPr>
        <w:spacing w:before="0" w:after="0"/>
        <w:contextualSpacing/>
        <w:jc w:val="both"/>
        <w:rPr>
          <w:rFonts w:ascii="Calibri" w:hAnsi="Calibri"/>
          <w:sz w:val="24"/>
          <w:szCs w:val="24"/>
        </w:rPr>
      </w:pPr>
      <w:r>
        <w:rPr>
          <w:rFonts w:ascii="Calibri" w:hAnsi="Calibri"/>
          <w:sz w:val="24"/>
          <w:szCs w:val="24"/>
        </w:rPr>
        <w:t>Szálloda/szobalista; ételérzékenység/vendéglátást biztosító; szervező/statisztika; támogatók (szponzorok) egyeztetés miatt (ennek esetén, az adattovábbítás jogalapjáról, céljáról és címzettjéről.)</w:t>
      </w:r>
    </w:p>
    <w:p>
      <w:pPr>
        <w:pStyle w:val="Normal"/>
        <w:spacing w:before="0" w:after="0"/>
        <w:ind w:left="1440" w:hanging="0"/>
        <w:contextualSpacing/>
        <w:jc w:val="both"/>
        <w:rPr>
          <w:rFonts w:ascii="Calibri" w:hAnsi="Calibri"/>
          <w:sz w:val="24"/>
          <w:szCs w:val="24"/>
        </w:rPr>
      </w:pPr>
      <w:r>
        <w:rPr>
          <w:rFonts w:ascii="Calibri" w:hAnsi="Calibri"/>
          <w:sz w:val="24"/>
          <w:szCs w:val="24"/>
        </w:rPr>
        <w:t xml:space="preserve">az adatkezelés módja, folyamata: manuálisan, illetve elektronikusan a Confware rendszerrel, </w:t>
      </w:r>
    </w:p>
    <w:p>
      <w:pPr>
        <w:pStyle w:val="Normal"/>
        <w:spacing w:before="0" w:after="0"/>
        <w:ind w:left="1440" w:hanging="0"/>
        <w:contextualSpacing/>
        <w:jc w:val="both"/>
        <w:rPr>
          <w:rFonts w:ascii="Calibri" w:hAnsi="Calibri"/>
          <w:sz w:val="24"/>
          <w:szCs w:val="24"/>
        </w:rPr>
      </w:pPr>
      <w:r>
        <w:rPr>
          <w:rFonts w:ascii="Calibri" w:hAnsi="Calibri"/>
          <w:sz w:val="24"/>
          <w:szCs w:val="24"/>
        </w:rPr>
      </w:r>
    </w:p>
    <w:p>
      <w:pPr>
        <w:pStyle w:val="Normal"/>
        <w:spacing w:before="0" w:after="0"/>
        <w:contextualSpacing/>
        <w:jc w:val="both"/>
        <w:rPr>
          <w:rFonts w:ascii="Calibri" w:hAnsi="Calibri"/>
          <w:sz w:val="24"/>
          <w:szCs w:val="24"/>
        </w:rPr>
      </w:pPr>
      <w:r>
        <w:rPr>
          <w:rFonts w:ascii="Calibri" w:hAnsi="Calibri"/>
          <w:sz w:val="24"/>
          <w:szCs w:val="24"/>
        </w:rPr>
        <w:t xml:space="preserve">A TENSI az alábbiak szerint tájékoztatja Önt a jogairól. Önt megilleti: </w:t>
      </w:r>
    </w:p>
    <w:p>
      <w:pPr>
        <w:pStyle w:val="Normal"/>
        <w:numPr>
          <w:ilvl w:val="0"/>
          <w:numId w:val="4"/>
        </w:numPr>
        <w:spacing w:before="0" w:after="0"/>
        <w:ind w:left="426" w:hanging="426"/>
        <w:contextualSpacing/>
        <w:jc w:val="both"/>
        <w:rPr>
          <w:rFonts w:ascii="Calibri" w:hAnsi="Calibri"/>
          <w:sz w:val="24"/>
          <w:szCs w:val="24"/>
        </w:rPr>
      </w:pPr>
      <w:r>
        <w:rPr>
          <w:rFonts w:ascii="Calibri" w:hAnsi="Calibri"/>
          <w:sz w:val="24"/>
          <w:szCs w:val="24"/>
        </w:rPr>
        <w:t xml:space="preserve">A </w:t>
      </w:r>
      <w:r>
        <w:rPr>
          <w:rFonts w:ascii="Calibri" w:hAnsi="Calibri"/>
          <w:b/>
          <w:sz w:val="24"/>
          <w:szCs w:val="24"/>
        </w:rPr>
        <w:t xml:space="preserve">tájékoztatáshoz való jog: </w:t>
      </w:r>
      <w:r>
        <w:rPr>
          <w:rFonts w:ascii="Calibri" w:hAnsi="Calibri"/>
          <w:sz w:val="24"/>
          <w:szCs w:val="24"/>
        </w:rPr>
        <w:t>Az érintett jogosult arra, hogy kérelmére az adatkezelő tájékoztatást adjon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pPr>
        <w:pStyle w:val="Normal"/>
        <w:numPr>
          <w:ilvl w:val="0"/>
          <w:numId w:val="4"/>
        </w:numPr>
        <w:spacing w:before="0" w:after="0"/>
        <w:ind w:left="426" w:hanging="426"/>
        <w:contextualSpacing/>
        <w:jc w:val="both"/>
        <w:rPr>
          <w:rFonts w:ascii="Calibri" w:hAnsi="Calibri"/>
          <w:sz w:val="24"/>
          <w:szCs w:val="24"/>
        </w:rPr>
      </w:pPr>
      <w:r>
        <w:rPr>
          <w:rFonts w:ascii="Calibri" w:hAnsi="Calibri"/>
          <w:sz w:val="24"/>
          <w:szCs w:val="24"/>
        </w:rPr>
        <w:t xml:space="preserve">A </w:t>
      </w:r>
      <w:r>
        <w:rPr>
          <w:rFonts w:ascii="Calibri" w:hAnsi="Calibri"/>
          <w:b/>
          <w:sz w:val="24"/>
          <w:szCs w:val="24"/>
        </w:rPr>
        <w:t>helyesbítés joga</w:t>
      </w:r>
      <w:r>
        <w:rPr>
          <w:rFonts w:ascii="Calibri" w:hAnsi="Calibri"/>
          <w:sz w:val="24"/>
          <w:szCs w:val="24"/>
        </w:rPr>
        <w:t xml:space="preserve">: Az érintett jogosult arra, hogy kérésére az Adatkezelő indokolatlan késedelem nélkül helyesbítse a rá vonatkozó pontatlan személyes adatokat. </w:t>
      </w:r>
    </w:p>
    <w:p>
      <w:pPr>
        <w:pStyle w:val="Normal"/>
        <w:numPr>
          <w:ilvl w:val="0"/>
          <w:numId w:val="4"/>
        </w:numPr>
        <w:spacing w:before="0" w:after="0"/>
        <w:ind w:left="426" w:hanging="426"/>
        <w:contextualSpacing/>
        <w:jc w:val="both"/>
        <w:rPr>
          <w:rFonts w:ascii="Calibri" w:hAnsi="Calibri"/>
          <w:sz w:val="24"/>
          <w:szCs w:val="24"/>
        </w:rPr>
      </w:pPr>
      <w:r>
        <w:rPr>
          <w:rFonts w:ascii="Calibri" w:hAnsi="Calibri"/>
          <w:sz w:val="24"/>
          <w:szCs w:val="24"/>
        </w:rPr>
        <w:t xml:space="preserve">A </w:t>
      </w:r>
      <w:r>
        <w:rPr>
          <w:rFonts w:ascii="Calibri" w:hAnsi="Calibri"/>
          <w:b/>
          <w:sz w:val="24"/>
          <w:szCs w:val="24"/>
        </w:rPr>
        <w:t>törléshez való jog</w:t>
      </w:r>
      <w:r>
        <w:rPr>
          <w:rFonts w:ascii="Calibri" w:hAnsi="Calibri"/>
          <w:sz w:val="24"/>
          <w:szCs w:val="24"/>
        </w:rPr>
        <w:t>, vagy más néven az „elfeledtetéshez való jog”: Az érintett jogosult arra, hogy kérésére az Adatkezelő indokolatlan késedelem nélkül törölje a rá vonatkozó személyes adatokat, az Adatkezelő pedig köteles arra, hogy az érintettre vonatkozó személyes adatokat indokolatlan késedelem nélkül törölje, ha azt kötelező adatkezelés nem zárja ki.</w:t>
      </w:r>
    </w:p>
    <w:p>
      <w:pPr>
        <w:pStyle w:val="Normal"/>
        <w:numPr>
          <w:ilvl w:val="0"/>
          <w:numId w:val="2"/>
        </w:numPr>
        <w:spacing w:before="0" w:after="0"/>
        <w:ind w:left="349" w:hanging="349"/>
        <w:contextualSpacing/>
        <w:jc w:val="both"/>
        <w:rPr>
          <w:rFonts w:ascii="Calibri" w:hAnsi="Calibri"/>
          <w:sz w:val="24"/>
          <w:szCs w:val="24"/>
        </w:rPr>
      </w:pPr>
      <w:r>
        <w:rPr>
          <w:rFonts w:ascii="Calibri" w:hAnsi="Calibri"/>
          <w:b/>
          <w:sz w:val="24"/>
          <w:szCs w:val="24"/>
        </w:rPr>
        <w:t>Az adatkezelés korlátozásához, vagy más néven zároláshoz való jog</w:t>
      </w:r>
      <w:r>
        <w:rPr>
          <w:rFonts w:ascii="Calibri" w:hAnsi="Calibri"/>
          <w:sz w:val="24"/>
          <w:szCs w:val="24"/>
        </w:rPr>
        <w:t xml:space="preserve">: Az érintett jogosult arra, hogy kérésére a TENSI korlátozza az adatkezelést. Ha a rendelkezésére álló információk alapján feltételezhető, hogy a törlés sértené az érintett jogos érdekeit, az adatokat zárolni kell. Az így zárolt személyes adat kizárólag addig kezelhető, ameddig fennáll az az adatkezelési cél, amely a személyes adat törlését kizárta. </w:t>
      </w:r>
    </w:p>
    <w:p>
      <w:pPr>
        <w:pStyle w:val="Normal"/>
        <w:spacing w:before="0" w:after="0"/>
        <w:ind w:left="349" w:hanging="0"/>
        <w:contextualSpacing/>
        <w:jc w:val="both"/>
        <w:rPr>
          <w:rFonts w:ascii="Calibri" w:hAnsi="Calibri"/>
          <w:sz w:val="24"/>
          <w:szCs w:val="24"/>
        </w:rPr>
      </w:pPr>
      <w:r>
        <w:rPr>
          <w:rFonts w:ascii="Calibri" w:hAnsi="Calibri"/>
          <w:sz w:val="24"/>
          <w:szCs w:val="24"/>
        </w:rPr>
      </w:r>
    </w:p>
    <w:p>
      <w:pPr>
        <w:pStyle w:val="Normal"/>
        <w:spacing w:before="0" w:after="0"/>
        <w:ind w:left="349" w:hanging="0"/>
        <w:contextualSpacing/>
        <w:jc w:val="both"/>
        <w:rPr>
          <w:rFonts w:ascii="Calibri" w:hAnsi="Calibri"/>
          <w:sz w:val="24"/>
          <w:szCs w:val="24"/>
        </w:rPr>
      </w:pPr>
      <w:r>
        <w:rPr>
          <w:rFonts w:ascii="Calibri" w:hAnsi="Calibri"/>
          <w:sz w:val="24"/>
          <w:szCs w:val="24"/>
        </w:rPr>
        <w:t>A TENSI a tájékoztatást írásban (ideértve az elektronikus utat is) nyújtja Ön felé, a helyesbítés, a törlés, az adatkezelés korlátozásának megtörténtéről írásban értesíti Önt, továbbá mindazokat, akiknek korábban az adatot adatkezelés céljára továbbították, átadta.</w:t>
      </w:r>
    </w:p>
    <w:p>
      <w:pPr>
        <w:pStyle w:val="Normal"/>
        <w:spacing w:before="0" w:after="0"/>
        <w:ind w:left="349" w:hanging="0"/>
        <w:contextualSpacing/>
        <w:jc w:val="both"/>
        <w:rPr>
          <w:rFonts w:ascii="Calibri" w:hAnsi="Calibri"/>
          <w:sz w:val="24"/>
          <w:szCs w:val="24"/>
        </w:rPr>
      </w:pPr>
      <w:r>
        <w:rPr>
          <w:rFonts w:ascii="Calibri" w:hAnsi="Calibri"/>
          <w:sz w:val="24"/>
          <w:szCs w:val="24"/>
        </w:rPr>
      </w:r>
    </w:p>
    <w:p>
      <w:pPr>
        <w:pStyle w:val="Normal"/>
        <w:numPr>
          <w:ilvl w:val="0"/>
          <w:numId w:val="2"/>
        </w:numPr>
        <w:spacing w:before="0" w:after="0"/>
        <w:ind w:left="349" w:hanging="349"/>
        <w:contextualSpacing/>
        <w:jc w:val="both"/>
        <w:rPr>
          <w:rFonts w:ascii="Calibri" w:hAnsi="Calibri"/>
          <w:sz w:val="24"/>
          <w:szCs w:val="24"/>
        </w:rPr>
      </w:pPr>
      <w:r>
        <w:rPr>
          <w:rFonts w:ascii="Calibri" w:hAnsi="Calibri"/>
          <w:b/>
          <w:sz w:val="24"/>
          <w:szCs w:val="24"/>
        </w:rPr>
        <w:t>A tiltakozáshoz való jog</w:t>
      </w:r>
      <w:r>
        <w:rPr>
          <w:rFonts w:ascii="Calibri" w:hAnsi="Calibri"/>
          <w:sz w:val="24"/>
          <w:szCs w:val="24"/>
        </w:rPr>
        <w:t xml:space="preserve">: Ön tiltakozhat személyes adatának kezelése – ideértve a profilalkotást is – ellen, ha </w:t>
      </w:r>
    </w:p>
    <w:p>
      <w:pPr>
        <w:pStyle w:val="Normal"/>
        <w:numPr>
          <w:ilvl w:val="0"/>
          <w:numId w:val="3"/>
        </w:numPr>
        <w:spacing w:before="0" w:after="0"/>
        <w:ind w:left="1077" w:hanging="360"/>
        <w:contextualSpacing/>
        <w:jc w:val="both"/>
        <w:rPr>
          <w:rFonts w:ascii="Calibri" w:hAnsi="Calibri"/>
          <w:sz w:val="24"/>
          <w:szCs w:val="24"/>
        </w:rPr>
      </w:pPr>
      <w:r>
        <w:rPr>
          <w:rFonts w:ascii="Calibri" w:hAnsi="Calibri"/>
          <w:sz w:val="24"/>
          <w:szCs w:val="24"/>
        </w:rPr>
        <w:t xml:space="preserve">a személyes adatok kezelése (továbbítása) kizárólag az Adatkezelő vagy az adatátvevő jogának vagy jogos érdekének érvényesítéséhez szükséges, kivéve kötelező adatkezelés esetén; </w:t>
      </w:r>
    </w:p>
    <w:p>
      <w:pPr>
        <w:pStyle w:val="Normal"/>
        <w:numPr>
          <w:ilvl w:val="0"/>
          <w:numId w:val="3"/>
        </w:numPr>
        <w:spacing w:before="0" w:after="0"/>
        <w:ind w:left="1077" w:hanging="360"/>
        <w:contextualSpacing/>
        <w:jc w:val="both"/>
        <w:rPr>
          <w:rFonts w:ascii="Calibri" w:hAnsi="Calibri"/>
          <w:sz w:val="24"/>
          <w:szCs w:val="24"/>
        </w:rPr>
      </w:pPr>
      <w:r>
        <w:rPr>
          <w:rFonts w:ascii="Calibri" w:hAnsi="Calibri"/>
          <w:sz w:val="24"/>
          <w:szCs w:val="24"/>
        </w:rPr>
        <w:t xml:space="preserve">a személyes adat felhasználása vagy továbbítása közvetlen üzletszerzés, közvélemény-kutatás vagy tudományos kutatás céljára történik; </w:t>
      </w:r>
    </w:p>
    <w:p>
      <w:pPr>
        <w:pStyle w:val="Normal"/>
        <w:numPr>
          <w:ilvl w:val="0"/>
          <w:numId w:val="3"/>
        </w:numPr>
        <w:spacing w:before="0" w:after="0"/>
        <w:ind w:left="1077" w:hanging="360"/>
        <w:contextualSpacing/>
        <w:jc w:val="both"/>
        <w:rPr>
          <w:rFonts w:ascii="Calibri" w:hAnsi="Calibri"/>
          <w:sz w:val="24"/>
          <w:szCs w:val="24"/>
        </w:rPr>
      </w:pPr>
      <w:r>
        <w:rPr>
          <w:rFonts w:ascii="Calibri" w:hAnsi="Calibri"/>
          <w:sz w:val="24"/>
          <w:szCs w:val="24"/>
        </w:rPr>
        <w:t xml:space="preserve">a tiltakozás jogának gyakorlását egyébként törvény lehetővé teszi. </w:t>
      </w:r>
    </w:p>
    <w:p>
      <w:pPr>
        <w:pStyle w:val="Normal"/>
        <w:spacing w:before="0" w:after="0"/>
        <w:ind w:left="1080" w:hanging="0"/>
        <w:contextualSpacing/>
        <w:jc w:val="both"/>
        <w:rPr>
          <w:rFonts w:ascii="Calibri" w:hAnsi="Calibri"/>
          <w:sz w:val="24"/>
          <w:szCs w:val="24"/>
        </w:rPr>
      </w:pPr>
      <w:r>
        <w:rPr>
          <w:rFonts w:ascii="Calibri" w:hAnsi="Calibri"/>
          <w:sz w:val="24"/>
          <w:szCs w:val="24"/>
        </w:rPr>
      </w:r>
    </w:p>
    <w:p>
      <w:pPr>
        <w:pStyle w:val="Normal"/>
        <w:spacing w:before="0" w:after="0"/>
        <w:ind w:left="349" w:hanging="0"/>
        <w:contextualSpacing/>
        <w:jc w:val="both"/>
        <w:rPr>
          <w:rFonts w:ascii="Calibri" w:hAnsi="Calibri"/>
          <w:sz w:val="24"/>
          <w:szCs w:val="24"/>
        </w:rPr>
      </w:pPr>
      <w:r>
        <w:rPr>
          <w:rFonts w:ascii="Calibri" w:hAnsi="Calibri"/>
          <w:sz w:val="24"/>
          <w:szCs w:val="24"/>
        </w:rPr>
        <w:t>Ön tiltakozhat az EU 2016/679 Rendelet 21. cikk 3. bek. alapján is a személyes adatok közvetlen üzletszerzés érdekében történő kezelése ellen, ekkor a személyes adatok a továbbiakban e célból nem kezelhetők.</w:t>
      </w:r>
    </w:p>
    <w:p>
      <w:pPr>
        <w:pStyle w:val="Normal"/>
        <w:numPr>
          <w:ilvl w:val="0"/>
          <w:numId w:val="2"/>
        </w:numPr>
        <w:spacing w:before="0" w:after="0"/>
        <w:ind w:left="349" w:hanging="349"/>
        <w:contextualSpacing/>
        <w:jc w:val="both"/>
        <w:rPr>
          <w:rFonts w:ascii="Calibri" w:hAnsi="Calibri"/>
          <w:sz w:val="24"/>
          <w:szCs w:val="24"/>
        </w:rPr>
      </w:pPr>
      <w:r>
        <w:rPr>
          <w:rFonts w:ascii="Calibri" w:hAnsi="Calibri"/>
          <w:b/>
          <w:sz w:val="24"/>
          <w:szCs w:val="24"/>
        </w:rPr>
        <w:t>Hatósági, bírósági jogérvényesítés</w:t>
      </w:r>
      <w:r>
        <w:rPr>
          <w:rFonts w:ascii="Calibri" w:hAnsi="Calibri"/>
          <w:sz w:val="24"/>
          <w:szCs w:val="24"/>
        </w:rPr>
        <w:t>: Az Ön a jogainak megsértése esetén bírósághoz fordulhat. A bíróság az ügyben soron kívül jár el. Azt, hogy az adatkezelés a jogszabályban foglaltaknak megfelel, az Adatkezelő köteles bizonyítani.</w:t>
      </w:r>
    </w:p>
    <w:p>
      <w:pPr>
        <w:pStyle w:val="Normal"/>
        <w:spacing w:before="0" w:after="0"/>
        <w:ind w:left="349" w:hanging="0"/>
        <w:contextualSpacing/>
        <w:jc w:val="both"/>
        <w:rPr>
          <w:rFonts w:ascii="Calibri" w:hAnsi="Calibri"/>
          <w:b/>
          <w:b/>
          <w:sz w:val="24"/>
          <w:szCs w:val="24"/>
        </w:rPr>
      </w:pPr>
      <w:r>
        <w:rPr>
          <w:rFonts w:ascii="Calibri" w:hAnsi="Calibri"/>
          <w:b/>
          <w:sz w:val="24"/>
          <w:szCs w:val="24"/>
        </w:rPr>
      </w:r>
    </w:p>
    <w:p>
      <w:pPr>
        <w:pStyle w:val="Normal"/>
        <w:spacing w:before="0" w:after="0"/>
        <w:contextualSpacing/>
        <w:jc w:val="both"/>
        <w:rPr>
          <w:rFonts w:ascii="Calibri" w:hAnsi="Calibri"/>
          <w:sz w:val="24"/>
          <w:szCs w:val="24"/>
        </w:rPr>
      </w:pPr>
      <w:r>
        <w:rPr>
          <w:rFonts w:ascii="Calibri" w:hAnsi="Calibri"/>
          <w:sz w:val="24"/>
          <w:szCs w:val="24"/>
        </w:rPr>
        <w:t>Információs önrendelkezési jogának megsértése esetén bejelentéssel, Ön panasszal élhet:</w:t>
      </w:r>
    </w:p>
    <w:p>
      <w:pPr>
        <w:pStyle w:val="Normal"/>
        <w:ind w:left="357" w:hanging="0"/>
        <w:jc w:val="both"/>
        <w:rPr>
          <w:rFonts w:ascii="Calibri" w:hAnsi="Calibri" w:eastAsia="Calibri"/>
          <w:sz w:val="24"/>
          <w:szCs w:val="24"/>
        </w:rPr>
      </w:pPr>
      <w:r>
        <w:rPr>
          <w:rFonts w:eastAsia="Calibri" w:ascii="Calibri" w:hAnsi="Calibri"/>
          <w:sz w:val="24"/>
          <w:szCs w:val="24"/>
        </w:rPr>
      </w:r>
    </w:p>
    <w:p>
      <w:pPr>
        <w:pStyle w:val="Normal"/>
        <w:ind w:left="357" w:hanging="0"/>
        <w:jc w:val="both"/>
        <w:rPr>
          <w:rFonts w:ascii="Calibri" w:hAnsi="Calibri" w:eastAsia="Calibri"/>
          <w:sz w:val="24"/>
          <w:szCs w:val="24"/>
        </w:rPr>
      </w:pPr>
      <w:r>
        <w:rPr>
          <w:rFonts w:eastAsia="Calibri" w:ascii="Calibri" w:hAnsi="Calibri"/>
          <w:sz w:val="24"/>
          <w:szCs w:val="24"/>
        </w:rPr>
        <w:t xml:space="preserve">Nemzeti Adatvédelmi és Információszabadság Hatóság </w:t>
      </w:r>
    </w:p>
    <w:p>
      <w:pPr>
        <w:pStyle w:val="Normal"/>
        <w:ind w:left="357" w:hanging="0"/>
        <w:jc w:val="both"/>
        <w:rPr>
          <w:rFonts w:ascii="Calibri" w:hAnsi="Calibri" w:eastAsia="Calibri"/>
          <w:sz w:val="24"/>
          <w:szCs w:val="24"/>
        </w:rPr>
      </w:pPr>
      <w:r>
        <w:rPr>
          <w:rFonts w:eastAsia="Calibri" w:ascii="Calibri" w:hAnsi="Calibri"/>
          <w:sz w:val="24"/>
          <w:szCs w:val="24"/>
        </w:rPr>
        <w:t xml:space="preserve">Cím: 1125 Budapest, Szilágyi Erzsébet fasor 22/c </w:t>
      </w:r>
    </w:p>
    <w:p>
      <w:pPr>
        <w:pStyle w:val="Normal"/>
        <w:ind w:left="357" w:hanging="0"/>
        <w:jc w:val="both"/>
        <w:rPr>
          <w:rFonts w:ascii="Calibri" w:hAnsi="Calibri" w:eastAsia="Calibri"/>
          <w:sz w:val="24"/>
          <w:szCs w:val="24"/>
        </w:rPr>
      </w:pPr>
      <w:r>
        <w:rPr>
          <w:rFonts w:eastAsia="Calibri" w:ascii="Calibri" w:hAnsi="Calibri"/>
          <w:sz w:val="24"/>
          <w:szCs w:val="24"/>
        </w:rPr>
        <w:t xml:space="preserve">Telefon: +36 (1) 391-1400 </w:t>
      </w:r>
    </w:p>
    <w:p>
      <w:pPr>
        <w:pStyle w:val="Normal"/>
        <w:ind w:left="357" w:hanging="0"/>
        <w:jc w:val="both"/>
        <w:rPr>
          <w:rFonts w:ascii="Calibri" w:hAnsi="Calibri" w:eastAsia="Calibri"/>
          <w:sz w:val="24"/>
          <w:szCs w:val="24"/>
        </w:rPr>
      </w:pPr>
      <w:r>
        <w:rPr>
          <w:rFonts w:eastAsia="Calibri" w:ascii="Calibri" w:hAnsi="Calibri"/>
          <w:sz w:val="24"/>
          <w:szCs w:val="24"/>
        </w:rPr>
        <w:t xml:space="preserve">Fax: +36 (1) 391-1410 </w:t>
      </w:r>
    </w:p>
    <w:p>
      <w:pPr>
        <w:pStyle w:val="Normal"/>
        <w:ind w:left="357" w:hanging="0"/>
        <w:jc w:val="both"/>
        <w:rPr>
          <w:rFonts w:ascii="Calibri" w:hAnsi="Calibri" w:eastAsia="Calibri"/>
          <w:sz w:val="24"/>
          <w:szCs w:val="24"/>
        </w:rPr>
      </w:pPr>
      <w:r>
        <w:rPr>
          <w:rFonts w:eastAsia="Calibri" w:ascii="Calibri" w:hAnsi="Calibri"/>
          <w:sz w:val="24"/>
          <w:szCs w:val="24"/>
        </w:rPr>
        <w:t xml:space="preserve">www: http://www.naih.hu </w:t>
      </w:r>
    </w:p>
    <w:p>
      <w:pPr>
        <w:pStyle w:val="Normal"/>
        <w:ind w:left="357" w:hanging="0"/>
        <w:jc w:val="both"/>
        <w:rPr>
          <w:rFonts w:ascii="Calibri" w:hAnsi="Calibri" w:eastAsia="Calibri"/>
          <w:sz w:val="24"/>
          <w:szCs w:val="24"/>
        </w:rPr>
      </w:pPr>
      <w:r>
        <w:rPr>
          <w:rFonts w:eastAsia="Calibri" w:ascii="Calibri" w:hAnsi="Calibri"/>
          <w:sz w:val="24"/>
          <w:szCs w:val="24"/>
        </w:rPr>
        <w:t xml:space="preserve">e-mail: ugyfelszolgalat@naih.hu </w:t>
      </w:r>
    </w:p>
    <w:p>
      <w:pPr>
        <w:pStyle w:val="Normal"/>
        <w:ind w:left="357" w:hanging="0"/>
        <w:jc w:val="both"/>
        <w:rPr>
          <w:rFonts w:ascii="Calibri" w:hAnsi="Calibri" w:eastAsia="Calibri"/>
          <w:sz w:val="24"/>
          <w:szCs w:val="24"/>
        </w:rPr>
      </w:pPr>
      <w:r>
        <w:rPr>
          <w:rFonts w:eastAsia="Calibri" w:ascii="Calibri" w:hAnsi="Calibri"/>
          <w:sz w:val="24"/>
          <w:szCs w:val="24"/>
        </w:rPr>
      </w:r>
    </w:p>
    <w:p>
      <w:pPr>
        <w:pStyle w:val="Normal"/>
        <w:spacing w:before="0" w:after="0"/>
        <w:contextualSpacing/>
        <w:jc w:val="both"/>
        <w:rPr>
          <w:rFonts w:ascii="Calibri" w:hAnsi="Calibri"/>
          <w:sz w:val="24"/>
          <w:szCs w:val="24"/>
        </w:rPr>
      </w:pPr>
      <w:r>
        <w:rPr>
          <w:rFonts w:ascii="Calibri" w:hAnsi="Calibri"/>
          <w:sz w:val="24"/>
          <w:szCs w:val="24"/>
        </w:rPr>
        <w:t xml:space="preserve">A TENSI tájékoztatja Önt továbbá, hogy </w:t>
      </w:r>
      <w:r>
        <w:rPr>
          <w:rFonts w:ascii="Calibri" w:hAnsi="Calibri"/>
          <w:b/>
          <w:sz w:val="24"/>
          <w:szCs w:val="24"/>
        </w:rPr>
        <w:t>a Magyar Pszichiátria Társaság 2023.évi XXVI. Vándorgyűlésének résztvevői tudomásul veszik, hogy a rendezvényről fényképeket, készíthetnek a Tensi, valamint az engedélyben részesülő szerződéses partnerek, közreműködők, sajtómunkatársak (a rájuk vonatkozó külön szerződés rendelkezései szerint), más résztvevők, illetve egyéb harmadik személyek. Ennek megfelelően a résztvevő a rendezvényen történő részvétellel kifejezetten hozzájárul arcának, megjelenésének, megnyilvánulásainak rögzítéséhez és közléséhez, azzal, hogy kizárólag kifejezett beleegyezésével nevesíthető. Hang- és képfelvételt kizárólagosan csak az adott rendezvény szakmai/Tudományos szervezőinek engedélyével készíthet a rendezvényről. Amennyiben a résztvevő közszereplőnek minősül, úgy a beleegyezése nélkül is nevesíthető</w:t>
      </w:r>
      <w:r>
        <w:rPr>
          <w:rFonts w:ascii="Calibri" w:hAnsi="Calibri"/>
          <w:sz w:val="24"/>
          <w:szCs w:val="24"/>
        </w:rPr>
        <w:t>.</w:t>
      </w:r>
    </w:p>
    <w:p>
      <w:pPr>
        <w:pStyle w:val="Normal"/>
        <w:spacing w:before="0" w:after="0"/>
        <w:contextualSpacing/>
        <w:jc w:val="both"/>
        <w:rPr>
          <w:rFonts w:ascii="Calibri" w:hAnsi="Calibri"/>
          <w:sz w:val="24"/>
          <w:szCs w:val="24"/>
        </w:rPr>
      </w:pPr>
      <w:r>
        <w:rPr>
          <w:rFonts w:ascii="Calibri" w:hAnsi="Calibri"/>
          <w:sz w:val="24"/>
          <w:szCs w:val="24"/>
        </w:rPr>
      </w:r>
    </w:p>
    <w:p>
      <w:pPr>
        <w:pStyle w:val="Normal"/>
        <w:spacing w:before="0" w:after="0"/>
        <w:contextualSpacing/>
        <w:jc w:val="both"/>
        <w:rPr>
          <w:rFonts w:ascii="Calibri" w:hAnsi="Calibri"/>
          <w:sz w:val="24"/>
          <w:szCs w:val="24"/>
        </w:rPr>
      </w:pPr>
      <w:r>
        <w:rPr>
          <w:rFonts w:ascii="Calibri" w:hAnsi="Calibri"/>
          <w:sz w:val="24"/>
          <w:szCs w:val="24"/>
        </w:rPr>
        <w:t>Az előzőek szerinti megjelenítéseken annak készítője a résztvevő tekintetében térben, időben, és felhasználási módban korlátlan, átruházható, és kizárólagos felhasználási jogosultságot szerez. A Tensi, valamint az engedélyben részesülő személyek a résztvevő relációjában korlátozás nélkül jogosultak a megjelenítés hasznosítására, felhasználására, többszörözésére, közzétételére, átdolgozására, nyilvánosságra hozatalára, nyilvánossághoz közvetítésére és forgalmazására, anélkül, hogy a résztvevő részére ezért bármilyen módon ellenszolgáltatást kellene nyújtaniuk. Az előzőek szerinti megjelenítés kapcsán a résztvevő nem jogosult igényt vagy követelést támasztani a Tensi-vel szemben.</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A résztvevő jogosult a rendezvényen fényképek készítésére. A résztvevő az általa készített fényképet nem értékesítheti, és ellenérték fejében nem hasznosíthatja, illetve kereskedelmi célból ellenérték nélkül sem hasznosíthatja, az azokon szereplő résztvevőket beleegyezésük nélkül nem nevesítheti, személyiségi jogaikat nem sértheti. A Tensi kifejezetten kizárja a felelősségét arra az esetre, ha más Látogatók az előzőekben írtakat megszegik.</w:t>
      </w:r>
    </w:p>
    <w:p>
      <w:pPr>
        <w:pStyle w:val="Normal"/>
        <w:jc w:val="both"/>
        <w:rPr>
          <w:rFonts w:ascii="Calibri" w:hAnsi="Calibri"/>
          <w:sz w:val="24"/>
          <w:szCs w:val="24"/>
        </w:rPr>
      </w:pPr>
      <w:r>
        <w:rPr>
          <w:rFonts w:ascii="Calibri" w:hAnsi="Calibri"/>
          <w:sz w:val="24"/>
          <w:szCs w:val="24"/>
        </w:rPr>
      </w:r>
    </w:p>
    <w:p>
      <w:pPr>
        <w:pStyle w:val="Normal"/>
        <w:ind w:left="426" w:hanging="426"/>
        <w:jc w:val="both"/>
        <w:rPr>
          <w:rFonts w:ascii="Calibri" w:hAnsi="Calibri"/>
          <w:sz w:val="24"/>
          <w:szCs w:val="24"/>
        </w:rPr>
      </w:pPr>
      <w:r>
        <w:rPr>
          <w:rFonts w:ascii="Calibri" w:hAnsi="Calibri"/>
          <w:sz w:val="24"/>
          <w:szCs w:val="24"/>
        </w:rPr>
        <w:t xml:space="preserve">Amennyiben olyan kérdése van, amelyre a jelen tájékoztatóban nem kap választ, kérjük, küldje el a </w:t>
      </w:r>
      <w:hyperlink r:id="rId2">
        <w:r>
          <w:rPr>
            <w:rFonts w:ascii="Calibri" w:hAnsi="Calibri"/>
            <w:color w:val="0000FF"/>
            <w:sz w:val="24"/>
            <w:szCs w:val="24"/>
            <w:u w:val="single"/>
          </w:rPr>
          <w:t>congress@tensi.hu</w:t>
        </w:r>
      </w:hyperlink>
      <w:r>
        <w:rPr>
          <w:rFonts w:ascii="Calibri" w:hAnsi="Calibri"/>
          <w:sz w:val="24"/>
          <w:szCs w:val="24"/>
        </w:rPr>
        <w:t> e-mail címre</w:t>
      </w:r>
    </w:p>
    <w:p>
      <w:pPr>
        <w:pStyle w:val="Normal"/>
        <w:numPr>
          <w:ilvl w:val="0"/>
          <w:numId w:val="0"/>
        </w:numPr>
        <w:pBdr>
          <w:bottom w:val="single" w:sz="12" w:space="5" w:color="E7E8EA"/>
        </w:pBdr>
        <w:shd w:val="clear" w:color="auto" w:fill="FFFFFF"/>
        <w:jc w:val="center"/>
        <w:outlineLvl w:val="2"/>
        <w:rPr>
          <w:rFonts w:ascii="Calibri" w:hAnsi="Calibri" w:cs="Calibri"/>
          <w:sz w:val="24"/>
          <w:szCs w:val="24"/>
        </w:rPr>
      </w:pPr>
      <w:r>
        <w:rPr>
          <w:rFonts w:cs="Calibri" w:ascii="Calibri" w:hAnsi="Calibri"/>
          <w:sz w:val="24"/>
          <w:szCs w:val="24"/>
        </w:rPr>
      </w:r>
    </w:p>
    <w:p>
      <w:pPr>
        <w:pStyle w:val="Normal"/>
        <w:rPr/>
      </w:pPr>
      <w:r>
        <w:rPr/>
      </w:r>
      <w:bookmarkStart w:id="0" w:name="_GoBack"/>
      <w:bookmarkStart w:id="1" w:name="_GoBack"/>
      <w:bookmarkEnd w:id="1"/>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Palatino Linotype">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65" w:hanging="705"/>
      </w:pPr>
    </w:lvl>
    <w:lvl w:ilvl="1">
      <w:start w:val="0"/>
      <w:numFmt w:val="bullet"/>
      <w:lvlText w:val="-"/>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5b82"/>
    <w:pPr>
      <w:widowControl/>
      <w:bidi w:val="0"/>
      <w:spacing w:lineRule="auto" w:line="240" w:before="0" w:after="0"/>
      <w:jc w:val="left"/>
    </w:pPr>
    <w:rPr>
      <w:rFonts w:ascii="Palatino Linotype" w:hAnsi="Palatino Linotype" w:eastAsia="Times New Roman" w:cs="Times New Roman"/>
      <w:color w:val="auto"/>
      <w:kern w:val="0"/>
      <w:sz w:val="20"/>
      <w:szCs w:val="20"/>
      <w:lang w:eastAsia="hu-HU" w:val="hu-HU"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gress@tensi.h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LibreOffice/6.4.7.2$Linux_X86_64 LibreOffice_project/40$Build-2</Application>
  <Pages>6</Pages>
  <Words>1461</Words>
  <Characters>10658</Characters>
  <CharactersWithSpaces>12050</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2022-01-10T12:13:00Z</dcterms:created>
  <dc:creator>Jónák Éva</dc:creator>
  <dc:description/>
  <dc:language>en-US</dc:language>
  <cp:lastModifiedBy>Jónák Éva</cp:lastModifiedBy>
  <dcterms:modified xsi:type="dcterms:W3CDTF">2023-01-25T17:11:00Z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